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0F0" w:rsidRPr="00631A5F" w:rsidRDefault="00D2314F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EMENDA À DESPESA</w:t>
      </w:r>
    </w:p>
    <w:p w:rsidR="003940F0" w:rsidRPr="00631A5F" w:rsidRDefault="003940F0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3940F0" w:rsidRPr="00631A5F" w:rsidRDefault="00D2314F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PROJETO DE LEI ORÇAMENTÁRIA PARA O EXERCÍCIO FINANCEIRO DE 2023</w:t>
      </w:r>
    </w:p>
    <w:p w:rsidR="003940F0" w:rsidRPr="00631A5F" w:rsidRDefault="003940F0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3940F0" w:rsidRPr="00631A5F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D2314F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3940F0" w:rsidRPr="00631A5F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631A5F" w:rsidRDefault="00D2314F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D86D4D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D2314F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3940F0" w:rsidRPr="00631A5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D2314F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3940F0" w:rsidRPr="00631A5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D2314F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3940F0" w:rsidRPr="00631A5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D2314F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3940F0" w:rsidRDefault="003940F0">
      <w:pPr>
        <w:spacing w:after="0" w:line="240" w:lineRule="auto"/>
        <w:jc w:val="center"/>
        <w:rPr>
          <w:sz w:val="24"/>
          <w:szCs w:val="24"/>
        </w:rPr>
      </w:pPr>
    </w:p>
    <w:p w:rsidR="00D86D4D" w:rsidRPr="00631A5F" w:rsidRDefault="00D86D4D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3940F0" w:rsidRPr="00631A5F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631A5F" w:rsidRDefault="00D2314F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D86D4D" w:rsidRDefault="00D86D4D" w:rsidP="00D86D4D">
            <w:pPr>
              <w:widowControl w:val="0"/>
              <w:spacing w:after="0" w:line="240" w:lineRule="auto"/>
              <w:jc w:val="center"/>
            </w:pPr>
            <w:r>
              <w:t>JOÃO ROQUE BOLL</w:t>
            </w:r>
          </w:p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3940F0" w:rsidRDefault="003940F0">
      <w:pPr>
        <w:spacing w:after="0" w:line="240" w:lineRule="auto"/>
        <w:jc w:val="center"/>
        <w:rPr>
          <w:sz w:val="24"/>
          <w:szCs w:val="24"/>
        </w:rPr>
      </w:pPr>
    </w:p>
    <w:p w:rsidR="00D86D4D" w:rsidRPr="00631A5F" w:rsidRDefault="00D86D4D">
      <w:pPr>
        <w:spacing w:after="0" w:line="240" w:lineRule="auto"/>
        <w:jc w:val="center"/>
        <w:rPr>
          <w:sz w:val="24"/>
          <w:szCs w:val="24"/>
        </w:rPr>
      </w:pPr>
    </w:p>
    <w:p w:rsidR="003940F0" w:rsidRPr="00631A5F" w:rsidRDefault="00D2314F">
      <w:pPr>
        <w:spacing w:after="0" w:line="240" w:lineRule="auto"/>
        <w:jc w:val="both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400653" w:rsidRPr="00631A5F" w:rsidTr="0040065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BD5084" w:rsidRDefault="00400653" w:rsidP="0040065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08.000</w:t>
            </w:r>
          </w:p>
        </w:tc>
      </w:tr>
      <w:tr w:rsidR="00400653" w:rsidRPr="00631A5F" w:rsidTr="0040065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BD5084" w:rsidRDefault="00400653" w:rsidP="0040065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08.006</w:t>
            </w:r>
          </w:p>
        </w:tc>
      </w:tr>
      <w:tr w:rsidR="00400653" w:rsidRPr="00631A5F" w:rsidTr="0040065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BD5084" w:rsidRDefault="00400653" w:rsidP="0040065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27</w:t>
            </w:r>
          </w:p>
        </w:tc>
      </w:tr>
      <w:tr w:rsidR="00400653" w:rsidRPr="00631A5F" w:rsidTr="0040065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BD5084" w:rsidRDefault="00400653" w:rsidP="0040065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27.812</w:t>
            </w:r>
          </w:p>
        </w:tc>
      </w:tr>
      <w:tr w:rsidR="00400653" w:rsidRPr="00631A5F" w:rsidTr="0040065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BD5084" w:rsidRDefault="00400653" w:rsidP="0040065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27.812.0155 - </w:t>
            </w:r>
            <w:r>
              <w:rPr>
                <w:b/>
                <w:bCs/>
                <w:sz w:val="24"/>
                <w:szCs w:val="24"/>
              </w:rPr>
              <w:t>DESENVOLVENDO O DESPORTO MUNICIPAL</w:t>
            </w:r>
          </w:p>
        </w:tc>
      </w:tr>
      <w:tr w:rsidR="00400653" w:rsidRPr="00631A5F" w:rsidTr="0040065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BD5084" w:rsidRDefault="00400653" w:rsidP="0040065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27.812.0155.</w:t>
            </w:r>
            <w:r>
              <w:rPr>
                <w:b/>
                <w:bCs/>
                <w:sz w:val="24"/>
                <w:szCs w:val="24"/>
              </w:rPr>
              <w:t>2067 – MANUTENÇÃO DO DESPORTO MUNICIPAL</w:t>
            </w:r>
          </w:p>
        </w:tc>
      </w:tr>
      <w:tr w:rsidR="00400653" w:rsidRPr="00631A5F" w:rsidTr="0040065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BD5084" w:rsidRDefault="00400653" w:rsidP="0040065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3.3.90.31 – PREMIAÇÕES CULTURAIS</w:t>
            </w:r>
          </w:p>
        </w:tc>
      </w:tr>
      <w:tr w:rsidR="00400653" w:rsidRPr="00631A5F" w:rsidTr="0040065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R$ 49.978,72</w:t>
            </w:r>
          </w:p>
        </w:tc>
      </w:tr>
      <w:tr w:rsidR="00400653" w:rsidRPr="00631A5F" w:rsidTr="0040065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1.501.0000.0000</w:t>
            </w:r>
          </w:p>
        </w:tc>
      </w:tr>
    </w:tbl>
    <w:p w:rsidR="003940F0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D86D4D" w:rsidRPr="00631A5F" w:rsidRDefault="00D86D4D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631A5F" w:rsidRDefault="00D2314F">
      <w:pPr>
        <w:spacing w:after="0" w:line="240" w:lineRule="auto"/>
        <w:jc w:val="both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400653" w:rsidRPr="00631A5F" w:rsidTr="00C1293B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AB2CEF" w:rsidRDefault="00400653" w:rsidP="0040065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400653" w:rsidRPr="00631A5F" w:rsidTr="00C1293B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AB2CEF" w:rsidRDefault="00400653" w:rsidP="0040065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400653" w:rsidRPr="00631A5F" w:rsidTr="00C1293B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AB2CEF" w:rsidRDefault="00400653" w:rsidP="0040065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400653" w:rsidRPr="00631A5F" w:rsidTr="00C1293B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Subfunção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AB2CEF" w:rsidRDefault="00400653" w:rsidP="0040065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400653" w:rsidRPr="00631A5F" w:rsidTr="00C1293B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AB2CEF" w:rsidRDefault="00400653" w:rsidP="0040065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400653" w:rsidRPr="00631A5F" w:rsidTr="00C1293B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AB2CEF" w:rsidRDefault="00400653" w:rsidP="0040065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400653" w:rsidRPr="00631A5F" w:rsidTr="00C1293B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AB2CEF" w:rsidRDefault="00400653" w:rsidP="0040065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400653" w:rsidRPr="00631A5F" w:rsidTr="00C1293B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R$ 49.978,72</w:t>
            </w:r>
          </w:p>
        </w:tc>
      </w:tr>
      <w:tr w:rsidR="00400653" w:rsidRPr="00631A5F" w:rsidTr="00C1293B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653" w:rsidRPr="00631A5F" w:rsidRDefault="00400653" w:rsidP="0040065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</w:t>
            </w:r>
            <w:r w:rsidR="007149CD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0.000</w:t>
            </w:r>
            <w:r w:rsidR="007149CD">
              <w:rPr>
                <w:b/>
                <w:bCs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</w:tbl>
    <w:p w:rsidR="003940F0" w:rsidRPr="00631A5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400653" w:rsidRDefault="00400653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631A5F" w:rsidRDefault="00D2314F">
      <w:pPr>
        <w:spacing w:after="0" w:line="240" w:lineRule="auto"/>
        <w:jc w:val="both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lastRenderedPageBreak/>
        <w:t>3 – Beneficiários</w:t>
      </w:r>
    </w:p>
    <w:p w:rsidR="0060654F" w:rsidRPr="007415AE" w:rsidRDefault="0060654F" w:rsidP="0060654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Educação, Desporto e Cultura (SMEDC)</w:t>
      </w:r>
    </w:p>
    <w:p w:rsidR="003940F0" w:rsidRPr="00631A5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631A5F" w:rsidRDefault="00D2314F">
      <w:pPr>
        <w:spacing w:after="0" w:line="240" w:lineRule="auto"/>
        <w:jc w:val="both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3940F0" w:rsidRPr="00631A5F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60654F" w:rsidP="00BD50D0">
            <w:pPr>
              <w:widowControl w:val="0"/>
              <w:spacing w:before="120" w:after="120" w:line="240" w:lineRule="auto"/>
              <w:ind w:firstLine="635"/>
              <w:jc w:val="both"/>
              <w:rPr>
                <w:b/>
                <w:bCs/>
                <w:sz w:val="24"/>
                <w:szCs w:val="24"/>
              </w:rPr>
            </w:pPr>
            <w:r w:rsidRPr="007415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Esta emenda à despesa visa realocar recursos </w:t>
            </w:r>
            <w:r w:rsidR="00C1293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com a finalidade de reativar os campeonatos desportivos individuais e coletivos nos bairros do município de Três Passos, uma vez que estes são fundamentais para </w:t>
            </w:r>
            <w:r w:rsidR="006843F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estimular </w:t>
            </w:r>
            <w:r w:rsidR="00C1293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que as pessoas de um modo geral </w:t>
            </w:r>
            <w:r w:rsidR="006843FB">
              <w:rPr>
                <w:color w:val="000000" w:themeColor="text1"/>
                <w:sz w:val="24"/>
                <w:szCs w:val="24"/>
                <w:shd w:val="clear" w:color="auto" w:fill="FFFFFF"/>
              </w:rPr>
              <w:t>possam ter</w:t>
            </w:r>
            <w:r w:rsidR="00C1293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uma boa qualidade de vida, mais plena e saudável, </w:t>
            </w:r>
            <w:r w:rsidR="006843FB">
              <w:rPr>
                <w:sz w:val="24"/>
                <w:szCs w:val="24"/>
              </w:rPr>
              <w:t xml:space="preserve">tanto no ambiente familiar, em sociedade, quanto no trabalho. Entendemos que incentivar a realização dessas competições, sejam elas coletivas ou individuais,  </w:t>
            </w:r>
            <w:r w:rsidR="00BD50D0">
              <w:rPr>
                <w:sz w:val="24"/>
                <w:szCs w:val="24"/>
              </w:rPr>
              <w:t>vêm a favorecer a</w:t>
            </w:r>
            <w:r w:rsidR="006843FB">
              <w:rPr>
                <w:sz w:val="24"/>
                <w:szCs w:val="24"/>
              </w:rPr>
              <w:t xml:space="preserve"> construção de valores, como valorizar</w:t>
            </w:r>
            <w:r w:rsidR="00BD50D0">
              <w:rPr>
                <w:sz w:val="24"/>
                <w:szCs w:val="24"/>
              </w:rPr>
              <w:t xml:space="preserve"> e construir</w:t>
            </w:r>
            <w:r w:rsidR="006843FB">
              <w:rPr>
                <w:sz w:val="24"/>
                <w:szCs w:val="24"/>
              </w:rPr>
              <w:t xml:space="preserve"> regras</w:t>
            </w:r>
            <w:r w:rsidR="00BD50D0">
              <w:rPr>
                <w:sz w:val="24"/>
                <w:szCs w:val="24"/>
              </w:rPr>
              <w:t xml:space="preserve">, reconhecer e superar limites, buscar resultados, desenvolver o espírito de equipe e pertencimento, </w:t>
            </w:r>
            <w:r w:rsidR="00BA3B70">
              <w:rPr>
                <w:sz w:val="24"/>
                <w:szCs w:val="24"/>
              </w:rPr>
              <w:t>além de beneficiar a coletivade</w:t>
            </w:r>
            <w:r w:rsidR="00A80E54">
              <w:rPr>
                <w:sz w:val="24"/>
                <w:szCs w:val="24"/>
              </w:rPr>
              <w:t>, integrando os bairros</w:t>
            </w:r>
            <w:r w:rsidR="00BA3B70">
              <w:rPr>
                <w:sz w:val="24"/>
                <w:szCs w:val="24"/>
              </w:rPr>
              <w:t>.</w:t>
            </w:r>
          </w:p>
        </w:tc>
      </w:tr>
    </w:tbl>
    <w:p w:rsidR="003940F0" w:rsidRPr="00631A5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631A5F" w:rsidRDefault="00D2314F">
      <w:pPr>
        <w:spacing w:after="0" w:line="240" w:lineRule="auto"/>
        <w:jc w:val="right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 xml:space="preserve">Três Passos, </w:t>
      </w:r>
      <w:r w:rsidR="00631A5F">
        <w:rPr>
          <w:b/>
          <w:bCs/>
          <w:sz w:val="24"/>
          <w:szCs w:val="24"/>
        </w:rPr>
        <w:t>23 de nov</w:t>
      </w:r>
      <w:r w:rsidRPr="00631A5F">
        <w:rPr>
          <w:b/>
          <w:bCs/>
          <w:sz w:val="24"/>
          <w:szCs w:val="24"/>
        </w:rPr>
        <w:t>embro de 2022.</w:t>
      </w:r>
    </w:p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940F0" w:rsidRPr="00631A5F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631A5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631A5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631A5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940F0" w:rsidRPr="00631A5F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0F0" w:rsidRPr="00631A5F" w:rsidRDefault="00D2314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631A5F" w:rsidRDefault="003940F0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3940F0" w:rsidRPr="00631A5F" w:rsidRDefault="003940F0">
      <w:pPr>
        <w:rPr>
          <w:sz w:val="24"/>
          <w:szCs w:val="24"/>
        </w:rPr>
      </w:pPr>
    </w:p>
    <w:sectPr w:rsidR="003940F0" w:rsidRPr="00631A5F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236" w:rsidRDefault="000F1236">
      <w:pPr>
        <w:spacing w:after="0" w:line="240" w:lineRule="auto"/>
      </w:pPr>
      <w:r>
        <w:separator/>
      </w:r>
    </w:p>
  </w:endnote>
  <w:endnote w:type="continuationSeparator" w:id="0">
    <w:p w:rsidR="000F1236" w:rsidRDefault="000F1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3940F0">
    <w:pPr>
      <w:pStyle w:val="Rodap"/>
      <w:jc w:val="center"/>
      <w:rPr>
        <w:rFonts w:ascii="Arial Black" w:hAnsi="Arial Black" w:cs="Arial Black"/>
        <w:sz w:val="16"/>
      </w:rPr>
    </w:pPr>
  </w:p>
  <w:p w:rsidR="003940F0" w:rsidRDefault="00D2314F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Rua Salgado Filho, 79  - Três Passos-RS.-  CEP: 98600-000  Fone: (55) 3522 1210</w:t>
    </w:r>
  </w:p>
  <w:p w:rsidR="003940F0" w:rsidRDefault="00D2314F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236" w:rsidRDefault="000F1236">
      <w:pPr>
        <w:spacing w:after="0" w:line="240" w:lineRule="auto"/>
      </w:pPr>
      <w:r>
        <w:separator/>
      </w:r>
    </w:p>
  </w:footnote>
  <w:footnote w:type="continuationSeparator" w:id="0">
    <w:p w:rsidR="000F1236" w:rsidRDefault="000F1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D2314F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3940F0" w:rsidRDefault="003940F0">
    <w:pPr>
      <w:pStyle w:val="Cabealho"/>
      <w:rPr>
        <w:sz w:val="20"/>
        <w:lang w:eastAsia="pt-BR"/>
      </w:rPr>
    </w:pPr>
  </w:p>
  <w:p w:rsidR="003940F0" w:rsidRDefault="003940F0">
    <w:pPr>
      <w:pStyle w:val="Cabealho"/>
      <w:jc w:val="center"/>
      <w:rPr>
        <w:sz w:val="20"/>
        <w:lang w:eastAsia="pt-BR"/>
      </w:rPr>
    </w:pPr>
  </w:p>
  <w:p w:rsidR="003940F0" w:rsidRDefault="00D2314F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3940F0" w:rsidRDefault="00D2314F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3940F0" w:rsidRDefault="003940F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F0"/>
    <w:rsid w:val="000F1236"/>
    <w:rsid w:val="0010627B"/>
    <w:rsid w:val="00116308"/>
    <w:rsid w:val="0023620A"/>
    <w:rsid w:val="003940F0"/>
    <w:rsid w:val="00400653"/>
    <w:rsid w:val="0060654F"/>
    <w:rsid w:val="00631A5F"/>
    <w:rsid w:val="006843FB"/>
    <w:rsid w:val="007149CD"/>
    <w:rsid w:val="00A80E54"/>
    <w:rsid w:val="00BA3B70"/>
    <w:rsid w:val="00BD50D0"/>
    <w:rsid w:val="00C1293B"/>
    <w:rsid w:val="00D042D5"/>
    <w:rsid w:val="00D2314F"/>
    <w:rsid w:val="00D8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6C4CD-35E2-4EC2-A679-63DAA724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Conta da Microsoft</cp:lastModifiedBy>
  <cp:revision>6</cp:revision>
  <cp:lastPrinted>2022-11-17T16:38:00Z</cp:lastPrinted>
  <dcterms:created xsi:type="dcterms:W3CDTF">2022-11-22T19:32:00Z</dcterms:created>
  <dcterms:modified xsi:type="dcterms:W3CDTF">2022-11-23T18:52:00Z</dcterms:modified>
  <dc:language>pt-BR</dc:language>
</cp:coreProperties>
</file>